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04" w:rsidRPr="00AD7A04" w:rsidRDefault="00AD7A04" w:rsidP="00AD7A04">
      <w:pPr>
        <w:spacing w:before="100" w:beforeAutospacing="1" w:after="100" w:afterAutospacing="1" w:line="240" w:lineRule="auto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</w:p>
    <w:p w:rsidR="00AD7A04" w:rsidRPr="00AD7A04" w:rsidRDefault="00AD7A04" w:rsidP="00AD7A04">
      <w:pPr>
        <w:spacing w:before="300" w:after="150" w:line="240" w:lineRule="auto"/>
        <w:outlineLvl w:val="0"/>
        <w:rPr>
          <w:rFonts w:ascii="Open Sans" w:eastAsia="Times New Roman" w:hAnsi="Open Sans" w:cs="Arial"/>
          <w:color w:val="333333"/>
          <w:kern w:val="36"/>
          <w:sz w:val="54"/>
          <w:szCs w:val="54"/>
          <w:lang w:eastAsia="ru-RU"/>
        </w:rPr>
      </w:pPr>
      <w:r w:rsidRPr="00AD7A04">
        <w:rPr>
          <w:rFonts w:ascii="Open Sans" w:eastAsia="Times New Roman" w:hAnsi="Open Sans" w:cs="Arial"/>
          <w:color w:val="333333"/>
          <w:kern w:val="36"/>
          <w:sz w:val="54"/>
          <w:szCs w:val="54"/>
          <w:lang w:eastAsia="ru-RU"/>
        </w:rPr>
        <w:t>Как подготовиться к эваку</w:t>
      </w:r>
      <w:r>
        <w:rPr>
          <w:rFonts w:ascii="Open Sans" w:eastAsia="Times New Roman" w:hAnsi="Open Sans" w:cs="Arial"/>
          <w:color w:val="333333"/>
          <w:kern w:val="36"/>
          <w:sz w:val="54"/>
          <w:szCs w:val="54"/>
          <w:lang w:eastAsia="ru-RU"/>
        </w:rPr>
        <w:t>ации населения по новым правила</w:t>
      </w:r>
      <w:bookmarkStart w:id="0" w:name="_GoBack"/>
      <w:bookmarkEnd w:id="0"/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1 марта 2023 года вступят в силу правила проведения эвакуационных мероприятий в чрезвычайных ситуациях природного и техногенного характера, а также при угрозе их возникновения. Органы МСУ обязаны обеспечить эвакуацию при ЧС муниципального характера. Проверьте действующие МПА в сфере защиты населения и территорий от ЧС. При необходимости внесите изменения.</w:t>
      </w:r>
    </w:p>
    <w:p w:rsidR="00AD7A04" w:rsidRPr="00AD7A04" w:rsidRDefault="00AD7A04" w:rsidP="00AD7A04">
      <w:pPr>
        <w:spacing w:before="150" w:after="150" w:line="240" w:lineRule="auto"/>
        <w:jc w:val="both"/>
        <w:outlineLvl w:val="3"/>
        <w:rPr>
          <w:rFonts w:ascii="Open Sans" w:eastAsia="Times New Roman" w:hAnsi="Open Sans" w:cs="Arial"/>
          <w:color w:val="333333"/>
          <w:sz w:val="26"/>
          <w:szCs w:val="26"/>
          <w:lang w:eastAsia="ru-RU"/>
        </w:rPr>
      </w:pPr>
      <w:r w:rsidRPr="00AD7A04">
        <w:rPr>
          <w:rFonts w:ascii="Open Sans" w:eastAsia="Times New Roman" w:hAnsi="Open Sans" w:cs="Arial"/>
          <w:b/>
          <w:bCs/>
          <w:color w:val="333333"/>
          <w:sz w:val="26"/>
          <w:szCs w:val="26"/>
          <w:lang w:eastAsia="ru-RU"/>
        </w:rPr>
        <w:t>Какой может быть эвакуация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Эвакуационные мероприятия — комплекс мероприятий по организованному вывозу, выводу граждан, материальных и культурных ценностей с территории, где существует угроза возникновения ЧС, или из зоны ЧС в безопасный район. Люди могут эвакуироваться на разных видах транспорта, пешим порядком или комбинированным способом. Какой может быть эвакуация, посмотрите в таблице.</w:t>
      </w:r>
    </w:p>
    <w:p w:rsidR="00AD7A04" w:rsidRPr="00AD7A04" w:rsidRDefault="00AD7A04" w:rsidP="00AD7A04">
      <w:pPr>
        <w:spacing w:before="150" w:after="150" w:line="240" w:lineRule="auto"/>
        <w:jc w:val="both"/>
        <w:outlineLvl w:val="3"/>
        <w:rPr>
          <w:rFonts w:ascii="Open Sans" w:eastAsia="Times New Roman" w:hAnsi="Open Sans" w:cs="Arial"/>
          <w:color w:val="333333"/>
          <w:sz w:val="26"/>
          <w:szCs w:val="26"/>
          <w:lang w:eastAsia="ru-RU"/>
        </w:rPr>
      </w:pPr>
      <w:r w:rsidRPr="00AD7A04">
        <w:rPr>
          <w:rFonts w:ascii="Open Sans" w:eastAsia="Times New Roman" w:hAnsi="Open Sans" w:cs="Arial"/>
          <w:b/>
          <w:bCs/>
          <w:color w:val="333333"/>
          <w:sz w:val="26"/>
          <w:szCs w:val="26"/>
          <w:lang w:eastAsia="ru-RU"/>
        </w:rPr>
        <w:t>Какой может быть эвакуация населения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6955"/>
      </w:tblGrid>
      <w:tr w:rsidR="00AD7A04" w:rsidRPr="00AD7A04" w:rsidTr="00AD7A04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Виды эвакуации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after="0" w:line="240" w:lineRule="auto"/>
              <w:jc w:val="both"/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В каком случае проводится, как происходит</w:t>
            </w:r>
          </w:p>
        </w:tc>
      </w:tr>
      <w:tr w:rsidR="00AD7A04" w:rsidRPr="00AD7A04" w:rsidTr="00AD7A04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 срокам проведения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Заблаговременная (упреждающая)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При высокой вероятности возникновения ЧС на потенциально опасных объектах или угрозы стихийных бедствий</w:t>
            </w:r>
          </w:p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с катастрофическими последствиями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Экстренная (безотлагательная)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При возникновении ЧС и угрозе стихийных бедствий с катастрофическими последствиями</w:t>
            </w:r>
          </w:p>
        </w:tc>
      </w:tr>
      <w:tr w:rsidR="00AD7A04" w:rsidRPr="00AD7A04" w:rsidTr="00AD7A04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 численности эвакуируемого населения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Частичная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Эвакуируется нетрудоспособное и незанятое на производстве население, а также дети дошкольного и школьного возраста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Общая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Эвакуируется все население</w:t>
            </w:r>
          </w:p>
        </w:tc>
      </w:tr>
      <w:tr w:rsidR="00AD7A04" w:rsidRPr="00AD7A04" w:rsidTr="00AD7A04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 удаленности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Локальная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В пределах города, населенного пункта, района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Местная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В границах региона или муниципального образования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Региональная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В границах федерального округа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Государственная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В пределах РФ</w:t>
            </w:r>
          </w:p>
        </w:tc>
      </w:tr>
      <w:tr w:rsidR="00AD7A04" w:rsidRPr="00AD7A04" w:rsidTr="00AD7A04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 продолжительности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Временная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Население возвращается на постоянное местожительство в течение нескольких суток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Среднесрочная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Население эвакуируется на срок до одного месяца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Продолжительная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Эвакуированные граждане находятся в безопасном районе более месяца</w:t>
            </w:r>
          </w:p>
        </w:tc>
      </w:tr>
      <w:tr w:rsidR="00AD7A04" w:rsidRPr="00AD7A04" w:rsidTr="00AD7A04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 способам проведения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lastRenderedPageBreak/>
              <w:t>Всеми видами транспорта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При наличии транспортных коммуникаций, парка транспортных средств, общественного транспорта и транспорта,</w:t>
            </w:r>
          </w:p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находящегося в личном пользовании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Пешим порядком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При объявлении экстренной эвакуации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Комбинированным способом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Предполагает сочетание двух предыдущих способов в любой последовательности</w:t>
            </w:r>
          </w:p>
        </w:tc>
      </w:tr>
      <w:tr w:rsidR="00AD7A04" w:rsidRPr="00AD7A04" w:rsidTr="00AD7A04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 категориям эвакуируемого населения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Одновременная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Предполагает вывод (вывоз) всех категорий населения, находящегося на территории региона, муниципального образования,</w:t>
            </w:r>
          </w:p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двух или более объектов, или проведение эвакуации в двух и более муниципальных образованиях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Последовательная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Предполагает вывод или вывоз одной любой категории населения, а затем поочередно других его категорий или вывод,</w:t>
            </w:r>
          </w:p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вывоз сначала одного муниципального образования, а затем поочередно остальных муниципальных образований региона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Выборочная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Предполагает вывод или вывоз только одной категории населения, подвергшейся наибольшей возможной опасности от источника ЧС,</w:t>
            </w:r>
          </w:p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или только одного муниципального образования региона</w:t>
            </w:r>
          </w:p>
        </w:tc>
      </w:tr>
      <w:tr w:rsidR="00AD7A04" w:rsidRPr="00AD7A04" w:rsidTr="00AD7A0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Комбинированным способом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A04" w:rsidRPr="00AD7A04" w:rsidRDefault="00AD7A04" w:rsidP="00AD7A04">
            <w:pPr>
              <w:spacing w:before="150" w:after="150" w:line="240" w:lineRule="auto"/>
              <w:jc w:val="both"/>
              <w:outlineLvl w:val="4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D7A04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Предполагает любое сочетание трех предыдущих способов в любой последовательности</w:t>
            </w:r>
          </w:p>
        </w:tc>
      </w:tr>
    </w:tbl>
    <w:p w:rsidR="00AD7A04" w:rsidRPr="00AD7A04" w:rsidRDefault="00AD7A04" w:rsidP="00AD7A04">
      <w:pPr>
        <w:spacing w:before="150" w:after="150" w:line="240" w:lineRule="auto"/>
        <w:jc w:val="both"/>
        <w:outlineLvl w:val="3"/>
        <w:rPr>
          <w:rFonts w:ascii="Open Sans" w:eastAsia="Times New Roman" w:hAnsi="Open Sans" w:cs="Arial"/>
          <w:color w:val="333333"/>
          <w:sz w:val="26"/>
          <w:szCs w:val="26"/>
          <w:lang w:eastAsia="ru-RU"/>
        </w:rPr>
      </w:pPr>
      <w:r w:rsidRPr="00AD7A04">
        <w:rPr>
          <w:rFonts w:ascii="Open Sans" w:eastAsia="Times New Roman" w:hAnsi="Open Sans" w:cs="Arial"/>
          <w:b/>
          <w:bCs/>
          <w:color w:val="333333"/>
          <w:sz w:val="26"/>
          <w:szCs w:val="26"/>
          <w:lang w:eastAsia="ru-RU"/>
        </w:rPr>
        <w:t>Как запланировать эвакуацию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800000"/>
          <w:sz w:val="21"/>
          <w:szCs w:val="21"/>
          <w:lang w:eastAsia="ru-RU"/>
        </w:rPr>
        <w:t>Документ: Правила проведения эвакуационных мероприятий при угрозе возникновения или возникновении ЧС природного и техногенного характера Правительство утвердило </w:t>
      </w:r>
      <w:hyperlink r:id="rId5" w:tgtFrame="_blank" w:history="1">
        <w:r w:rsidRPr="00AD7A04">
          <w:rPr>
            <w:rFonts w:ascii="Times New Roman" w:eastAsia="Times New Roman" w:hAnsi="Times New Roman" w:cs="Arial"/>
            <w:color w:val="800000"/>
            <w:sz w:val="21"/>
            <w:szCs w:val="21"/>
            <w:lang w:eastAsia="ru-RU"/>
          </w:rPr>
          <w:t>постановлением от 19.09.2022 № 1654</w:t>
        </w:r>
      </w:hyperlink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Сформируйте городскую или районную эвакуационную комиссию, если она у вас еще не создана. Включите в нее должностных лиц и специалистов главного управления МЧС по вашему региону или управления ГОЧС. Комиссия займется организацией эвакуации, учетом эвакуируемого населения, запланирует выделение транспортных средств.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При ЧС природного и техногенного характера заблаговременно создайте пункты посадки и пункты высадки эвакуируемого населения. При ЧС в военное время создайте:</w:t>
      </w:r>
    </w:p>
    <w:p w:rsidR="00AD7A04" w:rsidRPr="00AD7A04" w:rsidRDefault="00AD7A04" w:rsidP="00AD7A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сборные эвакуационные пункты (СЭП) для сбора и учета населения и отправки его в безопасные районы;</w:t>
      </w:r>
    </w:p>
    <w:p w:rsidR="00AD7A04" w:rsidRPr="00AD7A04" w:rsidRDefault="00AD7A04" w:rsidP="00AD7A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пункты временного размещения (ПВР) для кратковременного размещения населения за пределами зон ЧС;</w:t>
      </w:r>
    </w:p>
    <w:p w:rsidR="00AD7A04" w:rsidRPr="00AD7A04" w:rsidRDefault="00AD7A04" w:rsidP="00AD7A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приемные эвакуационные пункты для приема и учета пеших и автоколонн, поездов, судов с эвакуированным населением.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Организацией вывоза эвакуируемого населения займутся оперативные группы, администрации пунктов посадки и высадки населения на транспорт и с транспорта. Группы управления на маршрутах пешей эвакуации организуют и обеспечат движение пеших колонн на маршруте, оказание медицинской помощи в пути следования, охрану общественного порядка. В безопасных районах должны действовать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эвакоприемные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комиссии. Их задачи — прием, размещение и жизнеобеспечение эвакуированного населения.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lastRenderedPageBreak/>
        <w:t>Жилищно-эксплуатационные органы (ЖЭО) и организации должны составить списки людей, подлежащих эвакуации по месту жительства, в трех экземплярах. Первый ЖЭО или организация оставляет у себя. Второй направляют в СЭП, а после завершения вывоза или вывода населения передают в эвакуационную комиссию. Третий передают в 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эвакоприемную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комиссию в безопасном районе.</w:t>
      </w:r>
    </w:p>
    <w:p w:rsidR="00AD7A04" w:rsidRPr="00AD7A04" w:rsidRDefault="00AD7A04" w:rsidP="00AD7A04">
      <w:pPr>
        <w:spacing w:before="150" w:after="150" w:line="240" w:lineRule="auto"/>
        <w:jc w:val="both"/>
        <w:outlineLvl w:val="3"/>
        <w:rPr>
          <w:rFonts w:ascii="Open Sans" w:eastAsia="Times New Roman" w:hAnsi="Open Sans" w:cs="Arial"/>
          <w:color w:val="333333"/>
          <w:sz w:val="26"/>
          <w:szCs w:val="26"/>
          <w:lang w:eastAsia="ru-RU"/>
        </w:rPr>
      </w:pPr>
      <w:r w:rsidRPr="00AD7A04">
        <w:rPr>
          <w:rFonts w:ascii="Open Sans" w:eastAsia="Times New Roman" w:hAnsi="Open Sans" w:cs="Arial"/>
          <w:b/>
          <w:bCs/>
          <w:color w:val="333333"/>
          <w:sz w:val="26"/>
          <w:szCs w:val="26"/>
          <w:lang w:eastAsia="ru-RU"/>
        </w:rPr>
        <w:t>Какой МПА принять при эвакуации</w:t>
      </w:r>
    </w:p>
    <w:p w:rsidR="00AD7A04" w:rsidRPr="00AD7A04" w:rsidRDefault="00AD7A04" w:rsidP="00AD7A04">
      <w:pPr>
        <w:spacing w:before="150" w:after="150" w:line="240" w:lineRule="auto"/>
        <w:jc w:val="both"/>
        <w:outlineLvl w:val="3"/>
        <w:rPr>
          <w:rFonts w:ascii="Open Sans" w:eastAsia="Times New Roman" w:hAnsi="Open Sans" w:cs="Arial"/>
          <w:color w:val="333333"/>
          <w:sz w:val="26"/>
          <w:szCs w:val="26"/>
          <w:lang w:eastAsia="ru-RU"/>
        </w:rPr>
      </w:pPr>
      <w:r w:rsidRPr="00AD7A04">
        <w:rPr>
          <w:rFonts w:ascii="Open Sans" w:eastAsia="Times New Roman" w:hAnsi="Open Sans" w:cs="Arial"/>
          <w:color w:val="800000"/>
          <w:sz w:val="26"/>
          <w:szCs w:val="26"/>
          <w:lang w:eastAsia="ru-RU"/>
        </w:rPr>
        <w:t xml:space="preserve">На заметку: </w:t>
      </w:r>
      <w:proofErr w:type="gramStart"/>
      <w:r w:rsidRPr="00AD7A04">
        <w:rPr>
          <w:rFonts w:ascii="Open Sans" w:eastAsia="Times New Roman" w:hAnsi="Open Sans" w:cs="Arial"/>
          <w:color w:val="800000"/>
          <w:sz w:val="26"/>
          <w:szCs w:val="26"/>
          <w:lang w:eastAsia="ru-RU"/>
        </w:rPr>
        <w:t>В</w:t>
      </w:r>
      <w:proofErr w:type="gramEnd"/>
      <w:r w:rsidRPr="00AD7A04">
        <w:rPr>
          <w:rFonts w:ascii="Open Sans" w:eastAsia="Times New Roman" w:hAnsi="Open Sans" w:cs="Arial"/>
          <w:color w:val="800000"/>
          <w:sz w:val="26"/>
          <w:szCs w:val="26"/>
          <w:lang w:eastAsia="ru-RU"/>
        </w:rPr>
        <w:t> экстренных ситуациях эвакуационные мероприятия можно проводить по решению должностного лица, определенного комиссией по предупреждению и ликвидации ЧС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На основании решения комиссии по предупреждению и ликвидации ЧС о проведении эвакуационных мероприятий орган МСУ принимает соответствующий МПА. Определите в нем:</w:t>
      </w:r>
    </w:p>
    <w:p w:rsidR="00AD7A04" w:rsidRPr="00AD7A04" w:rsidRDefault="00AD7A04" w:rsidP="00AD7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места сбора и посадки на транспорт эвакуируемых людей;</w:t>
      </w:r>
    </w:p>
    <w:p w:rsidR="00AD7A04" w:rsidRPr="00AD7A04" w:rsidRDefault="00AD7A04" w:rsidP="00AD7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маршруты эвакуации;</w:t>
      </w:r>
    </w:p>
    <w:p w:rsidR="00AD7A04" w:rsidRPr="00AD7A04" w:rsidRDefault="00AD7A04" w:rsidP="00AD7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способы и сроки перевозки, вывода населения, вывоза ценностей;</w:t>
      </w:r>
    </w:p>
    <w:p w:rsidR="00AD7A04" w:rsidRPr="00AD7A04" w:rsidRDefault="00AD7A04" w:rsidP="00AD7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перечень транспортных средств, привлекаемых для проведения эвакуационных мероприятий;</w:t>
      </w:r>
    </w:p>
    <w:p w:rsidR="00AD7A04" w:rsidRPr="00AD7A04" w:rsidRDefault="00AD7A04" w:rsidP="00AD7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перечень вывозимых ценностей;</w:t>
      </w:r>
    </w:p>
    <w:p w:rsidR="00AD7A04" w:rsidRPr="00AD7A04" w:rsidRDefault="00AD7A04" w:rsidP="00AD7A0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перечень развертываемых ПВР и пунктов питания в безопасных районах, мест хранения вывозимых </w:t>
      </w:r>
      <w:proofErr w:type="gram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ценностей .</w:t>
      </w:r>
      <w:proofErr w:type="gramEnd"/>
    </w:p>
    <w:p w:rsidR="00AD7A04" w:rsidRPr="00AD7A04" w:rsidRDefault="00AD7A04" w:rsidP="00AD7A04">
      <w:pPr>
        <w:spacing w:before="150" w:after="150" w:line="240" w:lineRule="auto"/>
        <w:jc w:val="both"/>
        <w:outlineLvl w:val="3"/>
        <w:rPr>
          <w:rFonts w:ascii="Open Sans" w:eastAsia="Times New Roman" w:hAnsi="Open Sans" w:cs="Arial"/>
          <w:color w:val="333333"/>
          <w:sz w:val="26"/>
          <w:szCs w:val="26"/>
          <w:lang w:eastAsia="ru-RU"/>
        </w:rPr>
      </w:pPr>
      <w:r w:rsidRPr="00AD7A04">
        <w:rPr>
          <w:rFonts w:ascii="Open Sans" w:eastAsia="Times New Roman" w:hAnsi="Open Sans" w:cs="Arial"/>
          <w:b/>
          <w:bCs/>
          <w:color w:val="333333"/>
          <w:sz w:val="26"/>
          <w:szCs w:val="26"/>
          <w:lang w:eastAsia="ru-RU"/>
        </w:rPr>
        <w:t>Как оповестить население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Основной способ оповещения населения о возникшей ЧС и проводимых в связи с этим эвакуационных мероприятиях — это передача информации по каналам ТВ и радио, а также подвижными средствами оповещения. Перед передачей этой информации включаются сирены, производственные гудки, что означает подачу сигнала «Внимание всем». Услышав сигнал, люди включают телевизионные и радиотрансляционные приемники, чтобы прослушать краткое информационное экстренное сообщение.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800000"/>
          <w:sz w:val="21"/>
          <w:szCs w:val="21"/>
          <w:lang w:eastAsia="ru-RU"/>
        </w:rPr>
        <w:t>На заметку: Перевозки населения на расстояние до 100 км выполняются автотранспортом, местными и пригородными поездами, воздушными, морскими и речными судами. На расстояние свыше 100 км — железнодорожным транспортом, воздушными, морскими и речными судами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Чтобы заблаговременно проинформировать население, разместите информационные материалы о порядке эвакуации в безопасные районы. Для этого можно использовать:</w:t>
      </w:r>
    </w:p>
    <w:p w:rsidR="00AD7A04" w:rsidRPr="00AD7A04" w:rsidRDefault="00AD7A04" w:rsidP="00AD7A0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официальный сайт местной администрации;</w:t>
      </w:r>
    </w:p>
    <w:p w:rsidR="00AD7A04" w:rsidRPr="00AD7A04" w:rsidRDefault="00AD7A04" w:rsidP="00AD7A0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официальные страницы органов МСУ в социальных сетях;</w:t>
      </w:r>
    </w:p>
    <w:p w:rsidR="00AD7A04" w:rsidRPr="00AD7A04" w:rsidRDefault="00AD7A04" w:rsidP="00AD7A0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видео- и 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аудиотерминалы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в пассажирском транспорте;</w:t>
      </w:r>
    </w:p>
    <w:p w:rsidR="00AD7A04" w:rsidRPr="00AD7A04" w:rsidRDefault="00AD7A04" w:rsidP="00AD7A0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видеотерминалы в торговых центрах;</w:t>
      </w:r>
    </w:p>
    <w:p w:rsidR="00AD7A04" w:rsidRPr="00AD7A04" w:rsidRDefault="00AD7A04" w:rsidP="00AD7A0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уличные видеотерминалы в местах массового пребывания людей;</w:t>
      </w:r>
    </w:p>
    <w:p w:rsidR="00AD7A04" w:rsidRPr="00AD7A04" w:rsidRDefault="00AD7A04" w:rsidP="00AD7A0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периодические сетевые издания.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Рекомендуем оформить памятки с правилами поведения населения при эвакуации. Их можно разместить на информационных досках в подъездах и общественных местах, распространять через управляющие организации. Образец — ниже.</w:t>
      </w:r>
    </w:p>
    <w:p w:rsidR="00AD7A04" w:rsidRPr="00AD7A04" w:rsidRDefault="00AD7A04" w:rsidP="00AD7A04">
      <w:pPr>
        <w:spacing w:before="150" w:after="150" w:line="240" w:lineRule="auto"/>
        <w:jc w:val="both"/>
        <w:outlineLvl w:val="3"/>
        <w:rPr>
          <w:rFonts w:ascii="Open Sans" w:eastAsia="Times New Roman" w:hAnsi="Open Sans" w:cs="Arial"/>
          <w:color w:val="333333"/>
          <w:sz w:val="26"/>
          <w:szCs w:val="26"/>
          <w:lang w:eastAsia="ru-RU"/>
        </w:rPr>
      </w:pPr>
      <w:r w:rsidRPr="00AD7A04">
        <w:rPr>
          <w:rFonts w:ascii="Open Sans" w:eastAsia="Times New Roman" w:hAnsi="Open Sans" w:cs="Arial"/>
          <w:b/>
          <w:bCs/>
          <w:color w:val="333333"/>
          <w:sz w:val="26"/>
          <w:szCs w:val="26"/>
          <w:lang w:eastAsia="ru-RU"/>
        </w:rPr>
        <w:t>Как организовать вывоз людей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В зависимости от масштаба ЧС, наличия транспортных средств и состояния дорожной сети возможны два варианта использования транспортных средств.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1. Вывоз населения из зон ЧС в места размещения в безопасных районах.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2. Вывод населения пешим порядком из зон ЧС с последующей посадкой на транспортные средства и вывозом до мест размещения в безопасных районах.</w:t>
      </w:r>
    </w:p>
    <w:p w:rsidR="00AD7A04" w:rsidRPr="00AD7A04" w:rsidRDefault="00AD7A04" w:rsidP="00AD7A04">
      <w:pPr>
        <w:spacing w:before="150" w:after="150" w:line="240" w:lineRule="auto"/>
        <w:jc w:val="both"/>
        <w:outlineLvl w:val="3"/>
        <w:rPr>
          <w:rFonts w:ascii="Open Sans" w:eastAsia="Times New Roman" w:hAnsi="Open Sans" w:cs="Arial"/>
          <w:color w:val="333333"/>
          <w:sz w:val="26"/>
          <w:szCs w:val="26"/>
          <w:lang w:eastAsia="ru-RU"/>
        </w:rPr>
      </w:pPr>
      <w:proofErr w:type="spellStart"/>
      <w:r w:rsidRPr="00AD7A04">
        <w:rPr>
          <w:rFonts w:ascii="Open Sans" w:eastAsia="Times New Roman" w:hAnsi="Open Sans" w:cs="Arial"/>
          <w:b/>
          <w:bCs/>
          <w:i/>
          <w:iCs/>
          <w:color w:val="333333"/>
          <w:sz w:val="26"/>
          <w:szCs w:val="26"/>
          <w:lang w:eastAsia="ru-RU"/>
        </w:rPr>
        <w:t>Эвакоперевозка</w:t>
      </w:r>
      <w:proofErr w:type="spellEnd"/>
      <w:r w:rsidRPr="00AD7A04">
        <w:rPr>
          <w:rFonts w:ascii="Open Sans" w:eastAsia="Times New Roman" w:hAnsi="Open Sans" w:cs="Arial"/>
          <w:b/>
          <w:bCs/>
          <w:i/>
          <w:iCs/>
          <w:color w:val="333333"/>
          <w:sz w:val="26"/>
          <w:szCs w:val="26"/>
          <w:lang w:eastAsia="ru-RU"/>
        </w:rPr>
        <w:t xml:space="preserve"> автотранспортом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800000"/>
          <w:sz w:val="21"/>
          <w:szCs w:val="21"/>
          <w:lang w:eastAsia="ru-RU"/>
        </w:rPr>
        <w:lastRenderedPageBreak/>
        <w:t xml:space="preserve">На заметку: </w:t>
      </w:r>
      <w:proofErr w:type="gramStart"/>
      <w:r w:rsidRPr="00AD7A04">
        <w:rPr>
          <w:rFonts w:ascii="Open Sans" w:eastAsia="Times New Roman" w:hAnsi="Open Sans" w:cs="Arial"/>
          <w:color w:val="800000"/>
          <w:sz w:val="21"/>
          <w:szCs w:val="21"/>
          <w:lang w:eastAsia="ru-RU"/>
        </w:rPr>
        <w:t>В</w:t>
      </w:r>
      <w:proofErr w:type="gramEnd"/>
      <w:r w:rsidRPr="00AD7A04">
        <w:rPr>
          <w:rFonts w:ascii="Open Sans" w:eastAsia="Times New Roman" w:hAnsi="Open Sans" w:cs="Arial"/>
          <w:color w:val="800000"/>
          <w:sz w:val="21"/>
          <w:szCs w:val="21"/>
          <w:lang w:eastAsia="ru-RU"/>
        </w:rPr>
        <w:t> составе автоколонн и автосанитарных отрядов лучше иметь автомобили одного класса и одних технических возможностей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Сбор автотранспортных формирований (АТФ) осуществляется на базовом предприятии по решению руководителя органа исполнительной власти субъекта РФ или органа МСУ.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Пepeд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пoeздкoй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надо проверить во всех автомобилях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уpoвни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жидкocтeй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зapяд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aккумулятopa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дaвлeниe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в 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кoлеcax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, убрать из салонов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вcе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лишнee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.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Руководители АТФ разрабатывают два плана: автотранспортного обеспечения и дорожного обеспечения эвакуации. Оба документа утверждает руководитель органа исполнительной власти региона или органа МСУ. Он же управляет АТФ. Руководство посадкой населения возлагается на местные органы власти, отвечающие за его эвакуацию.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Запрещается перевозить в открытом автотранспорте детей до 14 лет, беременных женщин, женщин с детьми до 14 лет, больных, находящихся на амбулаторном лечении, мужчин старше 65 лет и женщин старше 60 лет. Автомобили должны двигаться с пониженной скоростью.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Пpи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движeнии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в группе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нa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нecкoлькиx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aвтoмoбиляx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cкopocть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зaдaет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пepвый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вoдитeль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. Остальные должны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двигaтьcя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co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 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cкopocтью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ocнoвнoгo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пoтoкa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видeть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ближaйшиe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aвтoмoбили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группы, идущие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впepeди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и 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cзaди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.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Автомобильные колонны и автосанитарные отряды следуют на 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СЭПы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, в пункты посадки, на предприятия, подлежащие эвакуации. Колонны прибывают в места погрузки, удобные для сосредоточения населения: на площади, в парки, скверы, к железнодорожным и речным вокзалам и т. п.</w:t>
      </w:r>
    </w:p>
    <w:p w:rsidR="00AD7A04" w:rsidRPr="00AD7A04" w:rsidRDefault="00AD7A04" w:rsidP="00AD7A04">
      <w:pPr>
        <w:spacing w:before="150" w:after="150" w:line="240" w:lineRule="auto"/>
        <w:jc w:val="both"/>
        <w:outlineLvl w:val="3"/>
        <w:rPr>
          <w:rFonts w:ascii="Open Sans" w:eastAsia="Times New Roman" w:hAnsi="Open Sans" w:cs="Arial"/>
          <w:color w:val="333333"/>
          <w:sz w:val="26"/>
          <w:szCs w:val="26"/>
          <w:lang w:eastAsia="ru-RU"/>
        </w:rPr>
      </w:pPr>
      <w:proofErr w:type="spellStart"/>
      <w:r w:rsidRPr="00AD7A04">
        <w:rPr>
          <w:rFonts w:ascii="Open Sans" w:eastAsia="Times New Roman" w:hAnsi="Open Sans" w:cs="Arial"/>
          <w:b/>
          <w:bCs/>
          <w:i/>
          <w:iCs/>
          <w:color w:val="333333"/>
          <w:sz w:val="26"/>
          <w:szCs w:val="26"/>
          <w:lang w:eastAsia="ru-RU"/>
        </w:rPr>
        <w:t>Эвакоперевозка</w:t>
      </w:r>
      <w:proofErr w:type="spellEnd"/>
      <w:r w:rsidRPr="00AD7A04">
        <w:rPr>
          <w:rFonts w:ascii="Open Sans" w:eastAsia="Times New Roman" w:hAnsi="Open Sans" w:cs="Arial"/>
          <w:b/>
          <w:bCs/>
          <w:i/>
          <w:iCs/>
          <w:color w:val="333333"/>
          <w:sz w:val="26"/>
          <w:szCs w:val="26"/>
          <w:lang w:eastAsia="ru-RU"/>
        </w:rPr>
        <w:t xml:space="preserve"> железнодорожным транспортом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800000"/>
          <w:sz w:val="21"/>
          <w:szCs w:val="21"/>
          <w:lang w:eastAsia="ru-RU"/>
        </w:rPr>
        <w:t>Важная деталь: Подвозить или подводить эвакуируемых к станциям посадки в поезда необходимо с интенсивностью, исключающей скопление людей на перронах и привокзальных площадях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Предварительную заявку на эвакуационные перевозки орган МСУ предъявляет отделению или управлению железных дорог. В заявке укажите:</w:t>
      </w:r>
    </w:p>
    <w:p w:rsidR="00AD7A04" w:rsidRPr="00AD7A04" w:rsidRDefault="00AD7A04" w:rsidP="00AD7A0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объемы наибольших вероятных перевозок по направлениям эвакуации, станциям отправления и назначения;</w:t>
      </w:r>
    </w:p>
    <w:p w:rsidR="00AD7A04" w:rsidRPr="00AD7A04" w:rsidRDefault="00AD7A04" w:rsidP="00AD7A0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предложения по использованию для </w:t>
      </w:r>
      <w:proofErr w:type="spell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эвакоперевозок</w:t>
      </w:r>
      <w:proofErr w:type="spell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крытых грузовых вагонов и по уплотненной посадке людей в пассажирские вагоны;</w:t>
      </w:r>
    </w:p>
    <w:p w:rsidR="00AD7A04" w:rsidRPr="00AD7A04" w:rsidRDefault="00AD7A04" w:rsidP="00AD7A0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исходное время подвода </w:t>
      </w:r>
      <w:proofErr w:type="gramStart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первых групп</w:t>
      </w:r>
      <w:proofErr w:type="gramEnd"/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 xml:space="preserve"> эвакуируемых к станциям посадки.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Заявку уточняют и корректируют с учетом реальных возможностей железной дороги. После этого ее утверждает начальник отделения железной дороги или начальник дороги.</w:t>
      </w:r>
    </w:p>
    <w:p w:rsidR="00AD7A04" w:rsidRPr="00AD7A04" w:rsidRDefault="00AD7A04" w:rsidP="00AD7A04">
      <w:pPr>
        <w:spacing w:before="150" w:after="150" w:line="240" w:lineRule="auto"/>
        <w:jc w:val="both"/>
        <w:outlineLvl w:val="3"/>
        <w:rPr>
          <w:rFonts w:ascii="Open Sans" w:eastAsia="Times New Roman" w:hAnsi="Open Sans" w:cs="Arial"/>
          <w:color w:val="333333"/>
          <w:sz w:val="26"/>
          <w:szCs w:val="26"/>
          <w:lang w:eastAsia="ru-RU"/>
        </w:rPr>
      </w:pPr>
      <w:r w:rsidRPr="00AD7A04">
        <w:rPr>
          <w:rFonts w:ascii="Open Sans" w:eastAsia="Times New Roman" w:hAnsi="Open Sans" w:cs="Arial"/>
          <w:b/>
          <w:bCs/>
          <w:color w:val="333333"/>
          <w:sz w:val="26"/>
          <w:szCs w:val="26"/>
          <w:lang w:eastAsia="ru-RU"/>
        </w:rPr>
        <w:t>Как размещать население в безопасных районах</w:t>
      </w:r>
    </w:p>
    <w:p w:rsidR="00AD7A04" w:rsidRPr="00AD7A04" w:rsidRDefault="00AD7A04" w:rsidP="00AD7A04">
      <w:pPr>
        <w:spacing w:after="150" w:line="240" w:lineRule="auto"/>
        <w:jc w:val="both"/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</w:pPr>
      <w:r w:rsidRPr="00AD7A04">
        <w:rPr>
          <w:rFonts w:ascii="Open Sans" w:eastAsia="Times New Roman" w:hAnsi="Open Sans" w:cs="Arial"/>
          <w:color w:val="333333"/>
          <w:sz w:val="21"/>
          <w:szCs w:val="21"/>
          <w:lang w:eastAsia="ru-RU"/>
        </w:rPr>
        <w:t>Районы размещения эвакуируемого населения должны быть вне зоны действия поражающих факторов — источника ЧС — и соответствовать санитарно-эпидемиологическим требованиям. В районах должны быть созданы условия для отдыха и жизни людей. Нужно предоставить гражданам медицинские и коммунально-бытовые услуги, обеспечить их предметами первой необходимости, оказать им информационно-психологическую поддержку. При необходимости можно ненадолго разместить граждан в служебно-бытовых помещениях, клубах, пансионатах и других подобных объектах, а также в центрах временного размещения ФМС России. В летнее время в районах с теплым климатом допустимо кратковременное размещение людей в палатках.</w:t>
      </w:r>
    </w:p>
    <w:p w:rsidR="005C7C09" w:rsidRDefault="005C7C09"/>
    <w:sectPr w:rsidR="005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468"/>
    <w:multiLevelType w:val="multilevel"/>
    <w:tmpl w:val="B5CC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B21CA"/>
    <w:multiLevelType w:val="multilevel"/>
    <w:tmpl w:val="0AAC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85AA9"/>
    <w:multiLevelType w:val="multilevel"/>
    <w:tmpl w:val="9ECE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938D5"/>
    <w:multiLevelType w:val="multilevel"/>
    <w:tmpl w:val="29B8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A4A72"/>
    <w:multiLevelType w:val="multilevel"/>
    <w:tmpl w:val="83B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0A"/>
    <w:rsid w:val="005C7C09"/>
    <w:rsid w:val="00810D0A"/>
    <w:rsid w:val="00A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FD5D"/>
  <w15:chartTrackingRefBased/>
  <w15:docId w15:val="{93D43EAD-88BA-4E0A-86CF-078C7844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9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unuprav.ru/npd-doc?npmid=99&amp;npid=351816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Село Семилуки</dc:creator>
  <cp:keywords/>
  <dc:description/>
  <cp:lastModifiedBy>Село Семилуки</cp:lastModifiedBy>
  <cp:revision>2</cp:revision>
  <dcterms:created xsi:type="dcterms:W3CDTF">2023-10-16T08:38:00Z</dcterms:created>
  <dcterms:modified xsi:type="dcterms:W3CDTF">2023-10-16T08:38:00Z</dcterms:modified>
</cp:coreProperties>
</file>