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tabs>
          <w:tab w:leader="none" w:pos="720" w:val="left"/>
        </w:tabs>
        <w:spacing w:after="0" w:line="240" w:lineRule="auto"/>
        <w:ind w:firstLine="709" w:left="0"/>
        <w:jc w:val="both"/>
        <w:rPr>
          <w:rFonts w:ascii="Times New Roman" w:hAnsi="Times New Roman"/>
          <w:sz w:val="28"/>
        </w:rPr>
      </w:pPr>
      <w:r>
        <w:rPr>
          <w:rFonts w:ascii="Times New Roman" w:hAnsi="Times New Roman"/>
          <w:sz w:val="28"/>
        </w:rPr>
        <w:t>РЕЗУЛЬТАТЫ ПРОВЕРКИ СОБЛЮДЕНИЯ ПРИРОДООХРАННОГО ЗАКОНОДАТЕЛЬСТВА В ЧАСТИ БЕЗОПАСНОГО ОБРАЩЕНИЯ С ОТХОДАМИ  I и  II КЛАССОВ ОПАСНОСТИ</w:t>
      </w:r>
    </w:p>
    <w:p w14:paraId="02000000">
      <w:pPr>
        <w:tabs>
          <w:tab w:leader="none" w:pos="720" w:val="left"/>
        </w:tabs>
        <w:spacing w:after="0" w:line="240" w:lineRule="auto"/>
        <w:ind w:firstLine="709" w:left="0"/>
        <w:jc w:val="both"/>
        <w:rPr>
          <w:rFonts w:ascii="Times New Roman" w:hAnsi="Times New Roman"/>
          <w:sz w:val="28"/>
        </w:rPr>
      </w:pPr>
    </w:p>
    <w:p w14:paraId="03000000">
      <w:pPr>
        <w:spacing w:after="0" w:line="300" w:lineRule="exact"/>
        <w:ind w:firstLine="709" w:left="0" w:right="49"/>
        <w:jc w:val="both"/>
        <w:rPr>
          <w:rFonts w:ascii="Times New Roman" w:hAnsi="Times New Roman"/>
          <w:color w:val="000000"/>
          <w:sz w:val="28"/>
        </w:rPr>
      </w:pPr>
      <w:r>
        <w:rPr>
          <w:rFonts w:ascii="Times New Roman" w:hAnsi="Times New Roman"/>
          <w:color w:val="000000"/>
          <w:sz w:val="28"/>
        </w:rPr>
        <w:t xml:space="preserve">Согласно </w:t>
      </w:r>
      <w:r>
        <w:rPr>
          <w:rFonts w:ascii="Times New Roman" w:hAnsi="Times New Roman"/>
          <w:color w:val="000000"/>
          <w:sz w:val="28"/>
        </w:rPr>
        <w:t>ст.</w:t>
      </w:r>
      <w:r>
        <w:rPr>
          <w:rFonts w:ascii="Times New Roman" w:hAnsi="Times New Roman"/>
          <w:color w:val="000000"/>
          <w:sz w:val="28"/>
        </w:rPr>
        <w:t xml:space="preserve"> 51 </w:t>
      </w:r>
      <w:r>
        <w:rPr>
          <w:rFonts w:ascii="Times New Roman" w:hAnsi="Times New Roman"/>
          <w:color w:val="000000"/>
          <w:sz w:val="28"/>
        </w:rPr>
        <w:t xml:space="preserve">Федерального закона РФ № 7-ФЗ от 10.01.2002 </w:t>
      </w:r>
      <w:r>
        <w:rPr>
          <w:rFonts w:ascii="Times New Roman" w:hAnsi="Times New Roman"/>
          <w:color w:val="000000"/>
          <w:sz w:val="28"/>
        </w:rPr>
        <w:t xml:space="preserve">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 </w:t>
      </w:r>
    </w:p>
    <w:p w14:paraId="04000000">
      <w:pPr>
        <w:spacing w:after="0" w:line="300" w:lineRule="exact"/>
        <w:ind w:firstLine="709" w:left="0" w:right="49"/>
        <w:jc w:val="both"/>
        <w:rPr>
          <w:rFonts w:ascii="Times New Roman" w:hAnsi="Times New Roman"/>
          <w:color w:val="000000"/>
          <w:sz w:val="28"/>
        </w:rPr>
      </w:pPr>
      <w:r>
        <w:rPr>
          <w:rFonts w:ascii="Times New Roman" w:hAnsi="Times New Roman"/>
          <w:color w:val="000000"/>
          <w:sz w:val="28"/>
        </w:rPr>
        <w:t xml:space="preserve">В силу п. 2 ст. 11 Федерального закона от 24.06.1998 № 89-ФЗ «Об отходах производства и потребления» (далее – </w:t>
      </w:r>
      <w:r>
        <w:rPr>
          <w:rFonts w:ascii="Times New Roman" w:hAnsi="Times New Roman"/>
          <w:color w:val="000000"/>
          <w:sz w:val="28"/>
        </w:rPr>
        <w:t>Федеральный закон от 24.06.1998 № 89-ФЗ</w:t>
      </w:r>
      <w:r>
        <w:rPr>
          <w:rFonts w:ascii="Times New Roman" w:hAnsi="Times New Roman"/>
          <w:color w:val="000000"/>
          <w:sz w:val="28"/>
        </w:rPr>
        <w:t>) юридические лица и индивидуальные предприниматели при эксплуатации зданий, сооружений и иных объектов, связанной с обращением с отходами, обязаны соблюдать федеральные нормы и правила и иные требования в области обращения с отходами; соблюдать требования при обращении с группами однородных отходов.</w:t>
      </w:r>
    </w:p>
    <w:p w14:paraId="05000000">
      <w:pPr>
        <w:tabs>
          <w:tab w:leader="none" w:pos="709" w:val="left"/>
        </w:tabs>
        <w:spacing w:after="0" w:line="300" w:lineRule="exact"/>
        <w:ind w:firstLine="709" w:left="0" w:right="49"/>
        <w:jc w:val="both"/>
        <w:outlineLvl w:val="2"/>
        <w:rPr>
          <w:rFonts w:ascii="Times New Roman" w:hAnsi="Times New Roman"/>
          <w:sz w:val="28"/>
        </w:rPr>
      </w:pPr>
      <w:r>
        <w:rPr>
          <w:rFonts w:ascii="Times New Roman" w:hAnsi="Times New Roman"/>
          <w:sz w:val="28"/>
        </w:rPr>
        <w:t xml:space="preserve">На основании </w:t>
      </w:r>
      <w:r>
        <w:rPr>
          <w:rFonts w:ascii="Times New Roman" w:hAnsi="Times New Roman"/>
          <w:sz w:val="28"/>
        </w:rPr>
        <w:t xml:space="preserve">п.п. 1, 2, 3 ст. 13.4 </w:t>
      </w:r>
      <w:r>
        <w:rPr>
          <w:rFonts w:ascii="Times New Roman" w:hAnsi="Times New Roman"/>
          <w:color w:val="000000"/>
          <w:sz w:val="28"/>
        </w:rPr>
        <w:t>Федерального закона от 24.06.1998 № 89-ФЗ</w:t>
      </w:r>
      <w:r>
        <w:rPr>
          <w:rFonts w:ascii="Times New Roman" w:hAnsi="Times New Roman"/>
          <w:sz w:val="28"/>
        </w:rPr>
        <w:t xml:space="preserve">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 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w:t>
      </w:r>
    </w:p>
    <w:p w14:paraId="06000000">
      <w:pPr>
        <w:tabs>
          <w:tab w:leader="none" w:pos="709" w:val="left"/>
        </w:tabs>
        <w:spacing w:after="0" w:line="300" w:lineRule="exact"/>
        <w:ind w:firstLine="709" w:left="0" w:right="49"/>
        <w:jc w:val="both"/>
        <w:outlineLvl w:val="2"/>
        <w:rPr>
          <w:rFonts w:ascii="Times New Roman" w:hAnsi="Times New Roman"/>
          <w:sz w:val="28"/>
        </w:rPr>
      </w:pPr>
      <w:r>
        <w:rPr>
          <w:rFonts w:ascii="Times New Roman" w:hAnsi="Times New Roman"/>
          <w:sz w:val="28"/>
        </w:rPr>
        <w:t>Ртутьсодержащие люминесцентные лампы отнесены к 1 классу опасности и в соответствии с п. 2.1 СанПин 2.1.7.1386-03 «Санитарные правила по определению класса опасности токсичных отходов производства и потребления», утвержденных</w:t>
      </w:r>
      <w:r>
        <w:rPr>
          <w:rFonts w:ascii="Times New Roman" w:hAnsi="Times New Roman"/>
        </w:rPr>
        <w:t xml:space="preserve"> </w:t>
      </w:r>
      <w:r>
        <w:rPr>
          <w:rFonts w:ascii="Times New Roman" w:hAnsi="Times New Roman"/>
          <w:sz w:val="28"/>
        </w:rPr>
        <w:t xml:space="preserve">постановлением Главного государственного санитарного врача РФ от 16.06.2003 </w:t>
      </w:r>
      <w:r>
        <w:rPr>
          <w:rFonts w:ascii="Times New Roman" w:hAnsi="Times New Roman"/>
          <w:sz w:val="28"/>
        </w:rPr>
        <w:t xml:space="preserve">    </w:t>
      </w:r>
      <w:r>
        <w:rPr>
          <w:rFonts w:ascii="Times New Roman" w:hAnsi="Times New Roman"/>
          <w:sz w:val="28"/>
        </w:rPr>
        <w:t>№ 144, являются чрезвычайно опасными по степени воздействия на среду обитания и здоровье человека.</w:t>
      </w:r>
    </w:p>
    <w:p w14:paraId="07000000">
      <w:pPr>
        <w:tabs>
          <w:tab w:leader="none" w:pos="709" w:val="left"/>
        </w:tabs>
        <w:spacing w:after="0" w:line="300" w:lineRule="exact"/>
        <w:ind w:firstLine="709" w:left="0" w:right="49"/>
        <w:jc w:val="both"/>
        <w:outlineLvl w:val="2"/>
        <w:rPr>
          <w:rFonts w:ascii="Times New Roman" w:hAnsi="Times New Roman"/>
          <w:sz w:val="28"/>
        </w:rPr>
      </w:pPr>
      <w:r>
        <w:rPr>
          <w:rFonts w:ascii="Times New Roman" w:hAnsi="Times New Roman"/>
          <w:sz w:val="28"/>
        </w:rPr>
        <w:t xml:space="preserve">Постановлением Правительства РФ от 28.12.2020 № 2314 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 животным, растениям и окружающей среде. </w:t>
      </w:r>
    </w:p>
    <w:p w14:paraId="08000000">
      <w:pPr>
        <w:tabs>
          <w:tab w:leader="none" w:pos="709" w:val="left"/>
        </w:tabs>
        <w:spacing w:after="0" w:line="300" w:lineRule="exact"/>
        <w:ind w:firstLine="709" w:left="0" w:right="49"/>
        <w:jc w:val="both"/>
        <w:outlineLvl w:val="2"/>
        <w:rPr>
          <w:rFonts w:ascii="Times New Roman" w:hAnsi="Times New Roman"/>
          <w:sz w:val="28"/>
        </w:rPr>
      </w:pPr>
      <w:r>
        <w:rPr>
          <w:rFonts w:ascii="Times New Roman" w:hAnsi="Times New Roman"/>
          <w:sz w:val="28"/>
        </w:rPr>
        <w:t>В соо</w:t>
      </w:r>
      <w:r>
        <w:rPr>
          <w:rFonts w:ascii="Times New Roman" w:hAnsi="Times New Roman"/>
          <w:sz w:val="28"/>
        </w:rPr>
        <w:t>тветствии с п.п. 6, 7 указанных Правил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09000000">
      <w:pPr>
        <w:tabs>
          <w:tab w:leader="none" w:pos="709" w:val="left"/>
        </w:tabs>
        <w:spacing w:after="0" w:line="300" w:lineRule="exact"/>
        <w:ind w:firstLine="709" w:left="0" w:right="49"/>
        <w:jc w:val="both"/>
        <w:outlineLvl w:val="2"/>
        <w:rPr>
          <w:rFonts w:ascii="Times New Roman" w:hAnsi="Times New Roman"/>
          <w:sz w:val="28"/>
        </w:rPr>
      </w:pPr>
      <w:r>
        <w:rPr>
          <w:rFonts w:ascii="Times New Roman" w:hAnsi="Times New Roman"/>
          <w:sz w:val="28"/>
        </w:rPr>
        <w:t xml:space="preserve">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 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 </w:t>
      </w:r>
    </w:p>
    <w:p w14:paraId="0A000000">
      <w:pPr>
        <w:spacing w:after="0" w:line="300" w:lineRule="exact"/>
        <w:ind w:firstLine="709" w:left="0"/>
        <w:jc w:val="both"/>
        <w:outlineLvl w:val="0"/>
        <w:rPr>
          <w:rFonts w:ascii="Times New Roman" w:hAnsi="Times New Roman"/>
          <w:sz w:val="28"/>
        </w:rPr>
      </w:pPr>
      <w:r>
        <w:rPr>
          <w:rFonts w:ascii="Times New Roman" w:hAnsi="Times New Roman"/>
          <w:sz w:val="28"/>
        </w:rPr>
        <w:t xml:space="preserve">В ходе проверки установлено, что в двух образовательных учреждениях района </w:t>
      </w:r>
      <w:r>
        <w:rPr>
          <w:rFonts w:ascii="Times New Roman" w:hAnsi="Times New Roman"/>
          <w:sz w:val="28"/>
        </w:rPr>
        <w:t xml:space="preserve">не были созданы условия для хранения </w:t>
      </w:r>
      <w:r>
        <w:rPr>
          <w:rFonts w:ascii="Times New Roman" w:hAnsi="Times New Roman"/>
          <w:sz w:val="28"/>
        </w:rPr>
        <w:t xml:space="preserve"> отработанных ртутьсодержащих ламп</w:t>
      </w:r>
      <w:r>
        <w:rPr>
          <w:rFonts w:ascii="Times New Roman" w:hAnsi="Times New Roman"/>
          <w:sz w:val="28"/>
        </w:rPr>
        <w:t xml:space="preserve"> в герметичной транспортной упаковке, исключающей загрязнение окружающей среды и причинение </w:t>
      </w:r>
      <w:r>
        <w:rPr>
          <w:rFonts w:ascii="Times New Roman" w:hAnsi="Times New Roman"/>
          <w:sz w:val="28"/>
        </w:rPr>
        <w:t>вреда жизни и здоровью человека.</w:t>
      </w:r>
    </w:p>
    <w:p w14:paraId="0B000000">
      <w:pPr>
        <w:tabs>
          <w:tab w:leader="none" w:pos="720" w:val="left"/>
        </w:tabs>
        <w:spacing w:after="0" w:line="240" w:lineRule="auto"/>
        <w:ind w:firstLine="709" w:left="0"/>
        <w:jc w:val="both"/>
        <w:rPr>
          <w:rFonts w:ascii="Times New Roman" w:hAnsi="Times New Roman"/>
          <w:sz w:val="28"/>
        </w:rPr>
      </w:pPr>
      <w:r>
        <w:rPr>
          <w:rFonts w:ascii="Times New Roman" w:hAnsi="Times New Roman"/>
          <w:sz w:val="28"/>
        </w:rPr>
        <w:t>По фактам выявленных нарушений прокуратурой района в адрес руководителей образовательных учреждений  внесено два представления  об устранении нарушений природоохранного законодательства.</w:t>
      </w:r>
    </w:p>
    <w:p w14:paraId="0C000000">
      <w:pPr>
        <w:tabs>
          <w:tab w:leader="none" w:pos="720" w:val="left"/>
        </w:tabs>
        <w:spacing w:after="0" w:line="240" w:lineRule="auto"/>
        <w:ind w:firstLine="709" w:left="0"/>
        <w:jc w:val="both"/>
        <w:rPr>
          <w:rFonts w:ascii="Times New Roman" w:hAnsi="Times New Roman"/>
          <w:sz w:val="28"/>
        </w:rPr>
      </w:pPr>
      <w:r>
        <w:rPr>
          <w:rFonts w:ascii="Times New Roman" w:hAnsi="Times New Roman"/>
          <w:sz w:val="28"/>
        </w:rPr>
        <w:t>По результатам рассмотрения представлений прокурора  выявленные нарушения устранены.</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Balloon Text"/>
    <w:basedOn w:val="Style_1"/>
    <w:link w:val="Style_11_ch"/>
    <w:pPr>
      <w:spacing w:after="0" w:line="240" w:lineRule="auto"/>
      <w:ind/>
    </w:pPr>
    <w:rPr>
      <w:rFonts w:ascii="Segoe UI" w:hAnsi="Segoe UI"/>
      <w:sz w:val="18"/>
    </w:rPr>
  </w:style>
  <w:style w:styleId="Style_11_ch" w:type="character">
    <w:name w:val="Balloon Text"/>
    <w:basedOn w:val="Style_1_ch"/>
    <w:link w:val="Style_11"/>
    <w:rPr>
      <w:rFonts w:ascii="Segoe UI" w:hAnsi="Segoe UI"/>
      <w:sz w:val="18"/>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1"/>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8"/>
    </w:rPr>
  </w:style>
  <w:style w:styleId="Style_15_ch" w:type="character">
    <w:name w:val="Header and Footer"/>
    <w:link w:val="Style_15"/>
    <w:rPr>
      <w:rFonts w:ascii="XO Thames" w:hAnsi="XO Thames"/>
      <w:sz w:val="28"/>
    </w:rPr>
  </w:style>
  <w:style w:styleId="Style_16" w:type="paragraph">
    <w:name w:val="toc 9"/>
    <w:next w:val="Style_1"/>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1"/>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1"/>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2025-06-26T12:23:19Z</dcterms:modified>
</cp:coreProperties>
</file>